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606" w:type="dxa"/>
        <w:tblLayout w:type="fixed"/>
        <w:tblLook w:val="04A0"/>
      </w:tblPr>
      <w:tblGrid>
        <w:gridCol w:w="459"/>
        <w:gridCol w:w="1634"/>
        <w:gridCol w:w="7513"/>
      </w:tblGrid>
      <w:tr w:rsidR="0009739C" w:rsidTr="00356156">
        <w:tc>
          <w:tcPr>
            <w:tcW w:w="459" w:type="dxa"/>
            <w:shd w:val="clear" w:color="auto" w:fill="BFBFBF" w:themeFill="background1" w:themeFillShade="BF"/>
          </w:tcPr>
          <w:p w:rsidR="0009739C" w:rsidRPr="00D831DF" w:rsidRDefault="0009739C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BFBFBF" w:themeFill="background1" w:themeFillShade="BF"/>
          </w:tcPr>
          <w:p w:rsidR="0009739C" w:rsidRPr="00D831DF" w:rsidRDefault="0009739C">
            <w:pPr>
              <w:rPr>
                <w:b/>
              </w:rPr>
            </w:pPr>
            <w:r w:rsidRPr="00D831DF">
              <w:rPr>
                <w:b/>
              </w:rPr>
              <w:t>THEMEN: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:rsidR="0009739C" w:rsidRPr="00D831DF" w:rsidRDefault="0009739C"/>
        </w:tc>
      </w:tr>
      <w:tr w:rsidR="0009739C" w:rsidTr="00356156">
        <w:tc>
          <w:tcPr>
            <w:tcW w:w="459" w:type="dxa"/>
          </w:tcPr>
          <w:p w:rsidR="0009739C" w:rsidRPr="00D831DF" w:rsidRDefault="0009739C" w:rsidP="001C2D9B">
            <w:pPr>
              <w:rPr>
                <w:b/>
              </w:rPr>
            </w:pPr>
            <w:r w:rsidRPr="00D831DF">
              <w:rPr>
                <w:b/>
              </w:rPr>
              <w:t>1</w:t>
            </w:r>
          </w:p>
        </w:tc>
        <w:tc>
          <w:tcPr>
            <w:tcW w:w="1634" w:type="dxa"/>
          </w:tcPr>
          <w:p w:rsidR="00D16A47" w:rsidRPr="00697A3D" w:rsidRDefault="004E7E86" w:rsidP="007100A1">
            <w:pPr>
              <w:rPr>
                <w:b/>
              </w:rPr>
            </w:pPr>
            <w:r>
              <w:rPr>
                <w:b/>
              </w:rPr>
              <w:t xml:space="preserve"> Teilnehmer</w:t>
            </w:r>
          </w:p>
        </w:tc>
        <w:tc>
          <w:tcPr>
            <w:tcW w:w="7513" w:type="dxa"/>
          </w:tcPr>
          <w:p w:rsidR="00B32BD8" w:rsidRPr="004E7E86" w:rsidRDefault="004E7E86" w:rsidP="0054425A">
            <w:r>
              <w:t xml:space="preserve">G. </w:t>
            </w:r>
            <w:proofErr w:type="spellStart"/>
            <w:r>
              <w:t>Glöckle</w:t>
            </w:r>
            <w:proofErr w:type="spellEnd"/>
            <w:r>
              <w:t xml:space="preserve">, D. Leibing, Fr. </w:t>
            </w:r>
            <w:r w:rsidR="000471AA">
              <w:t xml:space="preserve">und J. </w:t>
            </w:r>
            <w:r>
              <w:t xml:space="preserve">Häußler, H. </w:t>
            </w:r>
            <w:proofErr w:type="spellStart"/>
            <w:r>
              <w:t>Dangelmaier</w:t>
            </w:r>
            <w:proofErr w:type="spellEnd"/>
            <w:r>
              <w:t xml:space="preserve">, Paul-Martin Seiffert, K. </w:t>
            </w:r>
            <w:proofErr w:type="spellStart"/>
            <w:r>
              <w:t>Sedding</w:t>
            </w:r>
            <w:proofErr w:type="spellEnd"/>
            <w:r>
              <w:t xml:space="preserve"> (VL), M. Stegmaier, B. Schäfer-</w:t>
            </w:r>
            <w:proofErr w:type="spellStart"/>
            <w:r>
              <w:t>Oelmayer</w:t>
            </w:r>
            <w:proofErr w:type="spellEnd"/>
            <w:r w:rsidR="000471AA">
              <w:t xml:space="preserve">, </w:t>
            </w:r>
            <w:proofErr w:type="spellStart"/>
            <w:r w:rsidR="000471AA">
              <w:t>Th</w:t>
            </w:r>
            <w:proofErr w:type="spellEnd"/>
            <w:r w:rsidR="000471AA">
              <w:t xml:space="preserve">. </w:t>
            </w:r>
            <w:proofErr w:type="spellStart"/>
            <w:r w:rsidR="000471AA">
              <w:t>Düllmann</w:t>
            </w:r>
            <w:proofErr w:type="spellEnd"/>
          </w:p>
        </w:tc>
      </w:tr>
      <w:tr w:rsidR="00D16A47" w:rsidTr="00356156">
        <w:tc>
          <w:tcPr>
            <w:tcW w:w="459" w:type="dxa"/>
          </w:tcPr>
          <w:p w:rsidR="00D16A47" w:rsidRPr="00D831DF" w:rsidRDefault="001C2D9B" w:rsidP="007100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4" w:type="dxa"/>
          </w:tcPr>
          <w:p w:rsidR="008D4586" w:rsidRPr="00697A3D" w:rsidRDefault="004E7E86" w:rsidP="00B82BAB">
            <w:pPr>
              <w:rPr>
                <w:b/>
              </w:rPr>
            </w:pPr>
            <w:r>
              <w:rPr>
                <w:b/>
              </w:rPr>
              <w:t>14. April 2016</w:t>
            </w:r>
          </w:p>
        </w:tc>
        <w:tc>
          <w:tcPr>
            <w:tcW w:w="7513" w:type="dxa"/>
          </w:tcPr>
          <w:p w:rsidR="001C2D9B" w:rsidRDefault="004E7E86">
            <w:r>
              <w:t>Tagung in Stuttgart „Neue gentechnische Züchtungsmethoden“.</w:t>
            </w:r>
          </w:p>
          <w:p w:rsidR="004E7E86" w:rsidRDefault="004E7E86">
            <w:r>
              <w:t>Veranstalter: Aktionsbündnis gentechnikfreie Landwirtschaft BW.</w:t>
            </w:r>
          </w:p>
          <w:p w:rsidR="004E7E86" w:rsidRDefault="004E7E86">
            <w:r>
              <w:t>Besprechung des Programms</w:t>
            </w:r>
            <w:r w:rsidR="000471AA">
              <w:t>. Teilnehmer aus unserem Bündnis:</w:t>
            </w:r>
          </w:p>
          <w:p w:rsidR="000471AA" w:rsidRPr="00356156" w:rsidRDefault="000471AA">
            <w:r>
              <w:t xml:space="preserve">K. </w:t>
            </w:r>
            <w:proofErr w:type="spellStart"/>
            <w:r>
              <w:t>Sedding</w:t>
            </w:r>
            <w:proofErr w:type="spellEnd"/>
            <w:r>
              <w:t xml:space="preserve">, G. </w:t>
            </w:r>
            <w:proofErr w:type="spellStart"/>
            <w:r>
              <w:t>Weith</w:t>
            </w:r>
            <w:proofErr w:type="spellEnd"/>
            <w:r>
              <w:t xml:space="preserve">, J. Häußler, M. Stegmaier und </w:t>
            </w:r>
            <w:proofErr w:type="spellStart"/>
            <w:r>
              <w:t>Th</w:t>
            </w:r>
            <w:proofErr w:type="spellEnd"/>
            <w:r>
              <w:t xml:space="preserve">. </w:t>
            </w:r>
            <w:proofErr w:type="spellStart"/>
            <w:r>
              <w:t>Düllmann</w:t>
            </w:r>
            <w:proofErr w:type="spellEnd"/>
          </w:p>
        </w:tc>
      </w:tr>
      <w:tr w:rsidR="000471AA" w:rsidTr="00356156">
        <w:tc>
          <w:tcPr>
            <w:tcW w:w="459" w:type="dxa"/>
          </w:tcPr>
          <w:p w:rsidR="000471AA" w:rsidRPr="00D831DF" w:rsidRDefault="000471AA" w:rsidP="00D0360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4" w:type="dxa"/>
          </w:tcPr>
          <w:p w:rsidR="000471AA" w:rsidRDefault="000471AA" w:rsidP="00D0360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Rückblick</w:t>
            </w:r>
          </w:p>
          <w:p w:rsidR="000471AA" w:rsidRPr="00697A3D" w:rsidRDefault="000471AA" w:rsidP="00D03600">
            <w:pPr>
              <w:rPr>
                <w:rFonts w:cs="Arial"/>
                <w:b/>
                <w:color w:val="330033"/>
              </w:rPr>
            </w:pPr>
            <w:r w:rsidRPr="00697A3D">
              <w:rPr>
                <w:rFonts w:cs="Arial"/>
                <w:b/>
                <w:bCs/>
              </w:rPr>
              <w:t xml:space="preserve">STOP-TTIP-VA </w:t>
            </w:r>
            <w:r>
              <w:rPr>
                <w:rFonts w:cs="Arial"/>
                <w:b/>
                <w:bCs/>
              </w:rPr>
              <w:t xml:space="preserve">Mittwoch </w:t>
            </w:r>
            <w:r w:rsidRPr="00697A3D">
              <w:rPr>
                <w:rFonts w:cs="Arial"/>
                <w:b/>
                <w:bCs/>
              </w:rPr>
              <w:t xml:space="preserve">9. März </w:t>
            </w:r>
            <w:r>
              <w:rPr>
                <w:rFonts w:cs="Arial"/>
                <w:b/>
                <w:bCs/>
              </w:rPr>
              <w:t xml:space="preserve">G. Härle (KMU) / O. </w:t>
            </w:r>
            <w:proofErr w:type="spellStart"/>
            <w:r>
              <w:rPr>
                <w:rFonts w:cs="Arial"/>
                <w:b/>
                <w:bCs/>
              </w:rPr>
              <w:t>Sälzle</w:t>
            </w:r>
            <w:proofErr w:type="spellEnd"/>
            <w:r>
              <w:rPr>
                <w:rFonts w:cs="Arial"/>
                <w:b/>
                <w:bCs/>
              </w:rPr>
              <w:t xml:space="preserve"> (IHK)</w:t>
            </w:r>
          </w:p>
        </w:tc>
        <w:tc>
          <w:tcPr>
            <w:tcW w:w="7513" w:type="dxa"/>
          </w:tcPr>
          <w:p w:rsidR="000471AA" w:rsidRDefault="000471AA" w:rsidP="00907F44">
            <w:r>
              <w:t>Ausführlich</w:t>
            </w:r>
            <w:r w:rsidR="00D632E2">
              <w:t xml:space="preserve"> Diskussion, auch über die Nachteile einer Podiumsdiskussion.</w:t>
            </w:r>
          </w:p>
          <w:p w:rsidR="00D632E2" w:rsidRDefault="00D632E2" w:rsidP="00907F44">
            <w:r>
              <w:t xml:space="preserve">Hier wurde z.B. bemängelt, dass Herrn </w:t>
            </w:r>
            <w:proofErr w:type="spellStart"/>
            <w:r>
              <w:t>Sälzle</w:t>
            </w:r>
            <w:proofErr w:type="spellEnd"/>
            <w:r>
              <w:t xml:space="preserve"> (IHK)  mehr Zeit als Herrn Härle (AG kleine und mittlere Unternehmen) eingeräumt wurde.</w:t>
            </w:r>
          </w:p>
          <w:p w:rsidR="00D632E2" w:rsidRPr="00ED266A" w:rsidRDefault="00D632E2" w:rsidP="00D632E2">
            <w:pPr>
              <w:pStyle w:val="Listenabsatz"/>
              <w:ind w:left="0"/>
            </w:pPr>
            <w:r w:rsidRPr="00631CBC">
              <w:rPr>
                <w:b/>
              </w:rPr>
              <w:t xml:space="preserve">Diskussion </w:t>
            </w:r>
            <w:r>
              <w:t xml:space="preserve">– grundsätzlich und für den konkr. Fall – über die </w:t>
            </w:r>
            <w:proofErr w:type="spellStart"/>
            <w:r>
              <w:t>inhaltl</w:t>
            </w:r>
            <w:proofErr w:type="spellEnd"/>
            <w:r>
              <w:t xml:space="preserve">. und </w:t>
            </w:r>
          </w:p>
          <w:p w:rsidR="00D632E2" w:rsidRDefault="00D632E2" w:rsidP="00D632E2">
            <w:pPr>
              <w:rPr>
                <w:b/>
              </w:rPr>
            </w:pPr>
            <w:r w:rsidRPr="00ED381E">
              <w:rPr>
                <w:b/>
              </w:rPr>
              <w:t xml:space="preserve">Wichtige Ergänzung zum Stichwort </w:t>
            </w:r>
            <w:r>
              <w:rPr>
                <w:b/>
              </w:rPr>
              <w:t>„</w:t>
            </w:r>
            <w:proofErr w:type="spellStart"/>
            <w:r w:rsidRPr="00ED381E">
              <w:rPr>
                <w:b/>
              </w:rPr>
              <w:t>Rekommunalisierung</w:t>
            </w:r>
            <w:proofErr w:type="spellEnd"/>
            <w:r>
              <w:rPr>
                <w:b/>
              </w:rPr>
              <w:t>“</w:t>
            </w:r>
            <w:r w:rsidRPr="00ED381E">
              <w:rPr>
                <w:b/>
              </w:rPr>
              <w:t xml:space="preserve"> bei CETA</w:t>
            </w:r>
            <w:r>
              <w:rPr>
                <w:b/>
              </w:rPr>
              <w:t>:</w:t>
            </w:r>
          </w:p>
          <w:p w:rsidR="00D632E2" w:rsidRPr="00ED381E" w:rsidRDefault="00D632E2" w:rsidP="00D632E2">
            <w:pPr>
              <w:pStyle w:val="Listenabsatz"/>
              <w:numPr>
                <w:ilvl w:val="0"/>
                <w:numId w:val="10"/>
              </w:numPr>
              <w:rPr>
                <w:b/>
              </w:rPr>
            </w:pPr>
            <w:r>
              <w:t xml:space="preserve">O. </w:t>
            </w:r>
            <w:proofErr w:type="spellStart"/>
            <w:r>
              <w:t>Sälzle</w:t>
            </w:r>
            <w:proofErr w:type="spellEnd"/>
            <w:r>
              <w:t xml:space="preserve"> (IHK) hatte der Feststellung von G. Härle (KMU) widersprochen, eine </w:t>
            </w:r>
            <w:proofErr w:type="spellStart"/>
            <w:r>
              <w:t>Rek</w:t>
            </w:r>
            <w:proofErr w:type="spellEnd"/>
            <w:r>
              <w:t>. sei nach CETA doch möglich, mit Berufung auf die ihm  vorliegende CETA-Zusammenfassung in Deutsch.</w:t>
            </w:r>
          </w:p>
          <w:p w:rsidR="00D632E2" w:rsidRPr="002308D3" w:rsidRDefault="00D632E2" w:rsidP="00D632E2">
            <w:pPr>
              <w:pStyle w:val="Listenabsatz"/>
              <w:numPr>
                <w:ilvl w:val="0"/>
                <w:numId w:val="10"/>
              </w:numPr>
              <w:rPr>
                <w:b/>
              </w:rPr>
            </w:pPr>
            <w:r>
              <w:t xml:space="preserve">Die von unserem Bündnismitglied H. Löhr vermittelte </w:t>
            </w:r>
            <w:proofErr w:type="spellStart"/>
            <w:r>
              <w:t>wissenschaftl</w:t>
            </w:r>
            <w:proofErr w:type="spellEnd"/>
            <w:r>
              <w:t xml:space="preserve">. Expertise von Prof. A. </w:t>
            </w:r>
            <w:proofErr w:type="spellStart"/>
            <w:r>
              <w:t>Fisahn</w:t>
            </w:r>
            <w:proofErr w:type="spellEnd"/>
            <w:r>
              <w:t xml:space="preserve"> (Bielefeld) kommt dagegen nach einer Berücksichtigung des 1.600 Seiten starken engl. CETA-Originaltextes samt seiner diversen Anhänge zu diesem Schluss: </w:t>
            </w:r>
          </w:p>
          <w:p w:rsidR="00D632E2" w:rsidRPr="002308D3" w:rsidRDefault="00D632E2" w:rsidP="00D632E2">
            <w:pPr>
              <w:pStyle w:val="Listenabsatz"/>
              <w:numPr>
                <w:ilvl w:val="0"/>
                <w:numId w:val="10"/>
              </w:numPr>
              <w:rPr>
                <w:b/>
              </w:rPr>
            </w:pPr>
            <w:r>
              <w:t xml:space="preserve">Im CETA- Vertrag gibt es keine Regelung, dass Dienstleistungen der öffentlichen Daseinsvorsorge von einer Liberalisierung ausgenommen wären. </w:t>
            </w:r>
          </w:p>
          <w:p w:rsidR="00D632E2" w:rsidRPr="002308D3" w:rsidRDefault="00D632E2" w:rsidP="00D632E2">
            <w:pPr>
              <w:pStyle w:val="Listenabsatz"/>
              <w:numPr>
                <w:ilvl w:val="0"/>
                <w:numId w:val="10"/>
              </w:numPr>
              <w:rPr>
                <w:b/>
              </w:rPr>
            </w:pPr>
            <w:r>
              <w:t xml:space="preserve">Für die in den Anhängen genannten Ausnahmen gelten sog. Stillhalteklauseln. Diese besagen, dass die Vertragsstaaten für die ausgenommenen Bereiche die seitherigen Regeln beibehalten oder in Richtung einer Liberalisierung, </w:t>
            </w:r>
            <w:r w:rsidRPr="002308D3">
              <w:rPr>
                <w:b/>
              </w:rPr>
              <w:t>und nur in dieser Richtung</w:t>
            </w:r>
            <w:r>
              <w:t xml:space="preserve">, verändern können. Diese Änderungen dürfen jedoch nicht mehr rückgängig gemacht werden, was als </w:t>
            </w:r>
            <w:proofErr w:type="spellStart"/>
            <w:r w:rsidRPr="002308D3">
              <w:rPr>
                <w:sz w:val="24"/>
              </w:rPr>
              <w:t>Rachet</w:t>
            </w:r>
            <w:proofErr w:type="spellEnd"/>
            <w:r w:rsidRPr="002308D3">
              <w:rPr>
                <w:sz w:val="24"/>
              </w:rPr>
              <w:t>-Mechanismus (Sperrklinkeneffekt)</w:t>
            </w:r>
            <w:r>
              <w:t xml:space="preserve"> bezeichnet wird.</w:t>
            </w:r>
          </w:p>
          <w:p w:rsidR="00D632E2" w:rsidRPr="00356156" w:rsidRDefault="00D632E2" w:rsidP="00907F44"/>
        </w:tc>
      </w:tr>
      <w:tr w:rsidR="000471AA" w:rsidTr="00356156">
        <w:tc>
          <w:tcPr>
            <w:tcW w:w="459" w:type="dxa"/>
          </w:tcPr>
          <w:p w:rsidR="000471AA" w:rsidRPr="00D831DF" w:rsidRDefault="000471AA" w:rsidP="00D03600">
            <w:pPr>
              <w:rPr>
                <w:b/>
              </w:rPr>
            </w:pPr>
            <w:r w:rsidRPr="00D831DF">
              <w:rPr>
                <w:b/>
              </w:rPr>
              <w:t>4</w:t>
            </w:r>
          </w:p>
        </w:tc>
        <w:tc>
          <w:tcPr>
            <w:tcW w:w="1634" w:type="dxa"/>
          </w:tcPr>
          <w:p w:rsidR="000471AA" w:rsidRPr="00697A3D" w:rsidRDefault="000471AA" w:rsidP="00D03600">
            <w:pPr>
              <w:rPr>
                <w:b/>
              </w:rPr>
            </w:pPr>
            <w:r>
              <w:rPr>
                <w:rFonts w:cs="Arial"/>
                <w:b/>
                <w:color w:val="330033"/>
              </w:rPr>
              <w:t>Infos zu TTIP &amp; Co</w:t>
            </w:r>
          </w:p>
        </w:tc>
        <w:tc>
          <w:tcPr>
            <w:tcW w:w="7513" w:type="dxa"/>
          </w:tcPr>
          <w:p w:rsidR="00D632E2" w:rsidRDefault="000471AA" w:rsidP="00D03600">
            <w:pPr>
              <w:pStyle w:val="Listenabsatz"/>
              <w:numPr>
                <w:ilvl w:val="0"/>
                <w:numId w:val="11"/>
              </w:numPr>
            </w:pPr>
            <w:proofErr w:type="spellStart"/>
            <w:r w:rsidRPr="00D03600">
              <w:rPr>
                <w:b/>
              </w:rPr>
              <w:t>Großdemo</w:t>
            </w:r>
            <w:proofErr w:type="spellEnd"/>
            <w:r w:rsidRPr="00D03600">
              <w:rPr>
                <w:b/>
              </w:rPr>
              <w:t xml:space="preserve"> 23. April</w:t>
            </w:r>
            <w:r w:rsidR="00D632E2" w:rsidRPr="00D03600">
              <w:rPr>
                <w:b/>
              </w:rPr>
              <w:t xml:space="preserve"> in Hannover</w:t>
            </w:r>
            <w:r w:rsidR="00D03600">
              <w:t>:</w:t>
            </w:r>
            <w:r w:rsidR="00D632E2">
              <w:t xml:space="preserve"> Fahrtmöglichkeiten mit ICE oder Bus wurden angeboten.</w:t>
            </w:r>
            <w:r w:rsidR="00D03600">
              <w:t xml:space="preserve"> </w:t>
            </w:r>
            <w:r w:rsidR="00D632E2">
              <w:t>Eine intensivere Berichterstattung über die Hannover-Demo  mit ca. 90.000 Teilnehmern hat bereits durch mehrere Info-Mails stattgefunden.</w:t>
            </w:r>
          </w:p>
          <w:p w:rsidR="000471AA" w:rsidRPr="00D03600" w:rsidRDefault="00D03600" w:rsidP="00907F44">
            <w:pPr>
              <w:pStyle w:val="Listenabsatz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Arbeit des regionalen STOP</w:t>
            </w:r>
            <w:r w:rsidRPr="00D03600">
              <w:rPr>
                <w:b/>
              </w:rPr>
              <w:t>-TTIP-Bündnisses</w:t>
            </w:r>
            <w:r>
              <w:rPr>
                <w:b/>
              </w:rPr>
              <w:t>:</w:t>
            </w:r>
            <w:r>
              <w:t xml:space="preserve"> Dort laufen Vorbereitungen für öffentliche Protest-Aktionen ab Juni. Hintergrund: CETA (Blaupause von TTIP und „Agrogentechnik durch die Hintertür“) könnte ab September in die Ratifizierungsphase kommen. Die TTIP-Verhandlungen könnten untergroßem Zeitdruck doch noch bis Ende des Jahres zum Abschluss kommen.</w:t>
            </w:r>
          </w:p>
        </w:tc>
      </w:tr>
      <w:tr w:rsidR="000471AA" w:rsidTr="00356156">
        <w:trPr>
          <w:trHeight w:val="1119"/>
        </w:trPr>
        <w:tc>
          <w:tcPr>
            <w:tcW w:w="459" w:type="dxa"/>
          </w:tcPr>
          <w:p w:rsidR="000471AA" w:rsidRPr="00D831DF" w:rsidRDefault="00D03600" w:rsidP="00D0360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4" w:type="dxa"/>
          </w:tcPr>
          <w:p w:rsidR="000471AA" w:rsidRPr="00697A3D" w:rsidRDefault="00D03600" w:rsidP="00D03600">
            <w:pPr>
              <w:rPr>
                <w:b/>
              </w:rPr>
            </w:pPr>
            <w:proofErr w:type="spellStart"/>
            <w:r>
              <w:rPr>
                <w:b/>
              </w:rPr>
              <w:t>Glyphosat</w:t>
            </w:r>
            <w:proofErr w:type="spellEnd"/>
          </w:p>
        </w:tc>
        <w:tc>
          <w:tcPr>
            <w:tcW w:w="7513" w:type="dxa"/>
          </w:tcPr>
          <w:p w:rsidR="000471AA" w:rsidRPr="00356156" w:rsidRDefault="00D03600" w:rsidP="00D03600">
            <w:pPr>
              <w:pStyle w:val="Listenabsatz"/>
              <w:ind w:left="34"/>
            </w:pPr>
            <w:r>
              <w:t xml:space="preserve">Die EU-Zulassung für weitere 15 Jahre steht an! Längere Diskussion. Es wurde auf mehrere TV-Sendungen verwiesen, in denen </w:t>
            </w:r>
            <w:proofErr w:type="spellStart"/>
            <w:r>
              <w:t>Glyphosat</w:t>
            </w:r>
            <w:proofErr w:type="spellEnd"/>
            <w:r>
              <w:t xml:space="preserve"> thematisiert wird. In der Zwischenzeit (Stand 25. Mai) ist die Entscheidung bereits mehrfach verschoben worden, vor allem auch deswegen, weil die deutsche Regierung in der EU-Kommission als „Schwergewicht“ ‚nur noch‘ mit Enthaltung abstimmen kann. Endgültige Entscheidung wird bald erwartet. Große </w:t>
            </w:r>
            <w:proofErr w:type="spellStart"/>
            <w:r>
              <w:t>Glyphosat</w:t>
            </w:r>
            <w:proofErr w:type="spellEnd"/>
            <w:r>
              <w:t>-Proteste in der Öffentlichkeit, u.a. ganzseitige Anzeige in der Süddeutschen Zeitung.</w:t>
            </w:r>
          </w:p>
        </w:tc>
      </w:tr>
      <w:tr w:rsidR="000471AA" w:rsidTr="00356156">
        <w:tc>
          <w:tcPr>
            <w:tcW w:w="459" w:type="dxa"/>
          </w:tcPr>
          <w:p w:rsidR="000471AA" w:rsidRPr="00D831DF" w:rsidRDefault="000471AA" w:rsidP="00D03600">
            <w:pPr>
              <w:rPr>
                <w:b/>
              </w:rPr>
            </w:pPr>
            <w:r w:rsidRPr="00D831DF">
              <w:rPr>
                <w:b/>
              </w:rPr>
              <w:t>6</w:t>
            </w:r>
          </w:p>
        </w:tc>
        <w:tc>
          <w:tcPr>
            <w:tcW w:w="1634" w:type="dxa"/>
          </w:tcPr>
          <w:p w:rsidR="000471AA" w:rsidRPr="00697A3D" w:rsidRDefault="000471AA" w:rsidP="00D03600">
            <w:pPr>
              <w:rPr>
                <w:rFonts w:cs="Times"/>
                <w:b/>
                <w:lang w:eastAsia="ja-JP"/>
              </w:rPr>
            </w:pPr>
            <w:r>
              <w:rPr>
                <w:rFonts w:cs="Times"/>
                <w:b/>
                <w:lang w:eastAsia="ja-JP"/>
              </w:rPr>
              <w:t>Weitere VAs</w:t>
            </w:r>
          </w:p>
        </w:tc>
        <w:tc>
          <w:tcPr>
            <w:tcW w:w="7513" w:type="dxa"/>
          </w:tcPr>
          <w:p w:rsidR="00337559" w:rsidRDefault="00337559" w:rsidP="00337559">
            <w:pPr>
              <w:pStyle w:val="KeinLeerraum"/>
              <w:numPr>
                <w:ilvl w:val="0"/>
                <w:numId w:val="12"/>
              </w:numPr>
            </w:pPr>
            <w:r w:rsidRPr="00337559">
              <w:rPr>
                <w:b/>
              </w:rPr>
              <w:t>Die BI-</w:t>
            </w:r>
            <w:proofErr w:type="spellStart"/>
            <w:r w:rsidRPr="00337559">
              <w:rPr>
                <w:b/>
              </w:rPr>
              <w:t>Wippingen</w:t>
            </w:r>
            <w:proofErr w:type="spellEnd"/>
            <w:r w:rsidRPr="00337559">
              <w:rPr>
                <w:b/>
              </w:rPr>
              <w:t xml:space="preserve"> feiert am 23. April</w:t>
            </w:r>
            <w:r>
              <w:t xml:space="preserve"> ihr 20jähriges Jubiläum! Gratulation! Die SWP hat – inzwischen – mehrfach und ausführlich berichtet. Siehe die Info-Mails im April.</w:t>
            </w:r>
          </w:p>
          <w:p w:rsidR="00337559" w:rsidRDefault="00337559" w:rsidP="00337559">
            <w:pPr>
              <w:pStyle w:val="KeinLeerraum"/>
              <w:numPr>
                <w:ilvl w:val="0"/>
                <w:numId w:val="12"/>
              </w:numPr>
            </w:pPr>
            <w:r>
              <w:rPr>
                <w:b/>
              </w:rPr>
              <w:t xml:space="preserve">12. Mai UNW </w:t>
            </w:r>
            <w:r w:rsidRPr="00337559">
              <w:t>(Ulmer Initiativkreis für nachhaltiges Wirtschaften“</w:t>
            </w:r>
            <w:r>
              <w:t xml:space="preserve"> </w:t>
            </w:r>
            <w:r w:rsidRPr="00337559">
              <w:t>VA</w:t>
            </w:r>
            <w:r>
              <w:t xml:space="preserve"> im Ulmer Stadthaus. Thema: „Gutes essen lernen“.</w:t>
            </w:r>
          </w:p>
          <w:p w:rsidR="000471AA" w:rsidRPr="00356156" w:rsidRDefault="00337559" w:rsidP="00337559">
            <w:pPr>
              <w:pStyle w:val="KeinLeerraum"/>
              <w:numPr>
                <w:ilvl w:val="0"/>
                <w:numId w:val="12"/>
              </w:numPr>
            </w:pPr>
            <w:r>
              <w:rPr>
                <w:b/>
              </w:rPr>
              <w:lastRenderedPageBreak/>
              <w:t>17. September: „Ulm isst gut“</w:t>
            </w:r>
            <w:r w:rsidRPr="00356156">
              <w:t xml:space="preserve"> </w:t>
            </w:r>
          </w:p>
        </w:tc>
      </w:tr>
      <w:tr w:rsidR="000471AA" w:rsidTr="00356156">
        <w:tc>
          <w:tcPr>
            <w:tcW w:w="459" w:type="dxa"/>
          </w:tcPr>
          <w:p w:rsidR="000471AA" w:rsidRPr="00D831DF" w:rsidRDefault="000471AA" w:rsidP="00D03600">
            <w:pPr>
              <w:rPr>
                <w:b/>
              </w:rPr>
            </w:pPr>
          </w:p>
        </w:tc>
        <w:tc>
          <w:tcPr>
            <w:tcW w:w="1634" w:type="dxa"/>
          </w:tcPr>
          <w:p w:rsidR="000471AA" w:rsidRPr="00697A3D" w:rsidRDefault="000471AA" w:rsidP="00D03600">
            <w:pPr>
              <w:rPr>
                <w:rFonts w:cs="Arial"/>
                <w:b/>
                <w:color w:val="330033"/>
              </w:rPr>
            </w:pPr>
          </w:p>
        </w:tc>
        <w:tc>
          <w:tcPr>
            <w:tcW w:w="7513" w:type="dxa"/>
          </w:tcPr>
          <w:p w:rsidR="000471AA" w:rsidRPr="00356156" w:rsidRDefault="0054425A" w:rsidP="00FF5AFF">
            <w:pPr>
              <w:pStyle w:val="KeinLeerraum"/>
            </w:pPr>
            <w:r>
              <w:t>Nächste Bündnissitzung: 01. Juni 2016</w:t>
            </w:r>
          </w:p>
        </w:tc>
      </w:tr>
      <w:tr w:rsidR="000471AA" w:rsidTr="00356156">
        <w:tc>
          <w:tcPr>
            <w:tcW w:w="459" w:type="dxa"/>
          </w:tcPr>
          <w:p w:rsidR="000471AA" w:rsidRPr="00D831DF" w:rsidRDefault="000471AA" w:rsidP="00D03600">
            <w:pPr>
              <w:rPr>
                <w:b/>
              </w:rPr>
            </w:pPr>
          </w:p>
        </w:tc>
        <w:tc>
          <w:tcPr>
            <w:tcW w:w="1634" w:type="dxa"/>
          </w:tcPr>
          <w:p w:rsidR="000471AA" w:rsidRPr="00697A3D" w:rsidRDefault="000471AA" w:rsidP="00D03600">
            <w:pPr>
              <w:rPr>
                <w:rFonts w:cs="Arial"/>
                <w:b/>
                <w:color w:val="330033"/>
              </w:rPr>
            </w:pPr>
          </w:p>
        </w:tc>
        <w:tc>
          <w:tcPr>
            <w:tcW w:w="7513" w:type="dxa"/>
          </w:tcPr>
          <w:p w:rsidR="000471AA" w:rsidRPr="00356156" w:rsidRDefault="000471AA" w:rsidP="005B759B">
            <w:pPr>
              <w:pStyle w:val="HTMLVorformatier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28FA" w:rsidRDefault="000028FA"/>
    <w:p w:rsidR="00337559" w:rsidRDefault="00337559">
      <w:r>
        <w:t xml:space="preserve">Ulm, den 25. Mai 2016. </w:t>
      </w:r>
    </w:p>
    <w:p w:rsidR="00337559" w:rsidRDefault="00337559">
      <w:r>
        <w:t xml:space="preserve">Protokoll: Theo </w:t>
      </w:r>
      <w:proofErr w:type="spellStart"/>
      <w:r>
        <w:t>Düllmann</w:t>
      </w:r>
      <w:proofErr w:type="spellEnd"/>
      <w:r>
        <w:t xml:space="preserve">  --- Gegengel</w:t>
      </w:r>
      <w:r w:rsidR="00364CA9">
        <w:t>e</w:t>
      </w:r>
      <w:r>
        <w:t xml:space="preserve">sen: Konrad </w:t>
      </w:r>
      <w:proofErr w:type="spellStart"/>
      <w:r>
        <w:t>Sedding</w:t>
      </w:r>
      <w:proofErr w:type="spellEnd"/>
      <w:r>
        <w:t xml:space="preserve"> (Versammlungsleitung)</w:t>
      </w:r>
    </w:p>
    <w:sectPr w:rsidR="00337559" w:rsidSect="00664EEC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87" w:rsidRDefault="00466287" w:rsidP="00146924">
      <w:pPr>
        <w:spacing w:after="0" w:line="240" w:lineRule="auto"/>
      </w:pPr>
      <w:r>
        <w:separator/>
      </w:r>
    </w:p>
  </w:endnote>
  <w:endnote w:type="continuationSeparator" w:id="0">
    <w:p w:rsidR="00466287" w:rsidRDefault="00466287" w:rsidP="0014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2493"/>
      <w:docPartObj>
        <w:docPartGallery w:val="Page Numbers (Bottom of Page)"/>
        <w:docPartUnique/>
      </w:docPartObj>
    </w:sdtPr>
    <w:sdtContent>
      <w:p w:rsidR="00D03600" w:rsidRDefault="002C2735">
        <w:pPr>
          <w:pStyle w:val="Fuzeile"/>
          <w:jc w:val="center"/>
        </w:pPr>
        <w:fldSimple w:instr=" PAGE   \* MERGEFORMAT ">
          <w:r w:rsidR="00364CA9">
            <w:rPr>
              <w:noProof/>
            </w:rPr>
            <w:t>2</w:t>
          </w:r>
        </w:fldSimple>
      </w:p>
    </w:sdtContent>
  </w:sdt>
  <w:p w:rsidR="00D03600" w:rsidRDefault="00D0360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87" w:rsidRDefault="00466287" w:rsidP="00146924">
      <w:pPr>
        <w:spacing w:after="0" w:line="240" w:lineRule="auto"/>
      </w:pPr>
      <w:r>
        <w:separator/>
      </w:r>
    </w:p>
  </w:footnote>
  <w:footnote w:type="continuationSeparator" w:id="0">
    <w:p w:rsidR="00466287" w:rsidRDefault="00466287" w:rsidP="0014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00" w:rsidRDefault="00D03600" w:rsidP="004E7E86">
    <w:pPr>
      <w:pStyle w:val="Kopfzeile"/>
      <w:jc w:val="center"/>
    </w:pPr>
    <w:r>
      <w:t>Bündnissitzung Mittwoch, 06. April 2016, 20 Uhr, Café Liquid</w:t>
    </w:r>
  </w:p>
  <w:p w:rsidR="00D03600" w:rsidRDefault="00D03600" w:rsidP="004E7E86">
    <w:pPr>
      <w:pStyle w:val="Kopfzeile"/>
      <w:jc w:val="center"/>
      <w:rPr>
        <w:b/>
        <w:caps/>
      </w:rPr>
    </w:pPr>
    <w:r>
      <w:rPr>
        <w:b/>
        <w:sz w:val="28"/>
      </w:rPr>
      <w:t>PROTOKOLL</w:t>
    </w:r>
  </w:p>
  <w:p w:rsidR="00D03600" w:rsidRDefault="00D0360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532"/>
    <w:multiLevelType w:val="multilevel"/>
    <w:tmpl w:val="6A90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5320C"/>
    <w:multiLevelType w:val="hybridMultilevel"/>
    <w:tmpl w:val="68227B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0660C"/>
    <w:multiLevelType w:val="hybridMultilevel"/>
    <w:tmpl w:val="8B5E3F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F9695E"/>
    <w:multiLevelType w:val="hybridMultilevel"/>
    <w:tmpl w:val="30745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91AA6"/>
    <w:multiLevelType w:val="hybridMultilevel"/>
    <w:tmpl w:val="2A08D4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172BF2"/>
    <w:multiLevelType w:val="hybridMultilevel"/>
    <w:tmpl w:val="3342F6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1A22C1"/>
    <w:multiLevelType w:val="hybridMultilevel"/>
    <w:tmpl w:val="08EA75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973736"/>
    <w:multiLevelType w:val="hybridMultilevel"/>
    <w:tmpl w:val="A1D28C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9863A4"/>
    <w:multiLevelType w:val="hybridMultilevel"/>
    <w:tmpl w:val="0A7A6A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9C508D"/>
    <w:multiLevelType w:val="hybridMultilevel"/>
    <w:tmpl w:val="F87EB5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9652AA"/>
    <w:multiLevelType w:val="hybridMultilevel"/>
    <w:tmpl w:val="127C99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100891"/>
    <w:multiLevelType w:val="hybridMultilevel"/>
    <w:tmpl w:val="A3EE69E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523"/>
    <w:rsid w:val="000028FA"/>
    <w:rsid w:val="00003E0F"/>
    <w:rsid w:val="0000515C"/>
    <w:rsid w:val="00046CC5"/>
    <w:rsid w:val="000471AA"/>
    <w:rsid w:val="00047767"/>
    <w:rsid w:val="0009739C"/>
    <w:rsid w:val="000F27FF"/>
    <w:rsid w:val="00146924"/>
    <w:rsid w:val="001676BC"/>
    <w:rsid w:val="001A1957"/>
    <w:rsid w:val="001C2D9B"/>
    <w:rsid w:val="001F38E4"/>
    <w:rsid w:val="002229B1"/>
    <w:rsid w:val="002573A9"/>
    <w:rsid w:val="00292171"/>
    <w:rsid w:val="002B1618"/>
    <w:rsid w:val="002B6486"/>
    <w:rsid w:val="002C2735"/>
    <w:rsid w:val="00311AA3"/>
    <w:rsid w:val="00326570"/>
    <w:rsid w:val="003275DF"/>
    <w:rsid w:val="00337559"/>
    <w:rsid w:val="00356156"/>
    <w:rsid w:val="00364CA9"/>
    <w:rsid w:val="00365097"/>
    <w:rsid w:val="003702CB"/>
    <w:rsid w:val="003D40CC"/>
    <w:rsid w:val="003F7B2E"/>
    <w:rsid w:val="00414B03"/>
    <w:rsid w:val="004242C3"/>
    <w:rsid w:val="00466287"/>
    <w:rsid w:val="00480EED"/>
    <w:rsid w:val="004E7E86"/>
    <w:rsid w:val="004F3561"/>
    <w:rsid w:val="0051080F"/>
    <w:rsid w:val="0054425A"/>
    <w:rsid w:val="005541CB"/>
    <w:rsid w:val="00587C8E"/>
    <w:rsid w:val="0059660D"/>
    <w:rsid w:val="005B759B"/>
    <w:rsid w:val="005F06E0"/>
    <w:rsid w:val="0060412C"/>
    <w:rsid w:val="00612647"/>
    <w:rsid w:val="006324B9"/>
    <w:rsid w:val="00635F2C"/>
    <w:rsid w:val="00664EEC"/>
    <w:rsid w:val="00697A3D"/>
    <w:rsid w:val="006A01A9"/>
    <w:rsid w:val="006A31EF"/>
    <w:rsid w:val="006D41A2"/>
    <w:rsid w:val="006E48DB"/>
    <w:rsid w:val="006F72AA"/>
    <w:rsid w:val="00704C19"/>
    <w:rsid w:val="007100A1"/>
    <w:rsid w:val="007225BD"/>
    <w:rsid w:val="007562B7"/>
    <w:rsid w:val="007C2E25"/>
    <w:rsid w:val="007C6CCC"/>
    <w:rsid w:val="007F6B81"/>
    <w:rsid w:val="0080453C"/>
    <w:rsid w:val="008460D4"/>
    <w:rsid w:val="008D4586"/>
    <w:rsid w:val="0090023C"/>
    <w:rsid w:val="00902EF2"/>
    <w:rsid w:val="00907F44"/>
    <w:rsid w:val="00912A09"/>
    <w:rsid w:val="00914BF4"/>
    <w:rsid w:val="00944305"/>
    <w:rsid w:val="009541B2"/>
    <w:rsid w:val="00970873"/>
    <w:rsid w:val="009A5523"/>
    <w:rsid w:val="009B26D2"/>
    <w:rsid w:val="009B2EAA"/>
    <w:rsid w:val="00A56A7D"/>
    <w:rsid w:val="00A81C8D"/>
    <w:rsid w:val="00AF2A7E"/>
    <w:rsid w:val="00B32BD8"/>
    <w:rsid w:val="00B425AE"/>
    <w:rsid w:val="00B77B79"/>
    <w:rsid w:val="00B82BAB"/>
    <w:rsid w:val="00BA61F0"/>
    <w:rsid w:val="00BE7EF3"/>
    <w:rsid w:val="00C041D5"/>
    <w:rsid w:val="00C473A1"/>
    <w:rsid w:val="00C97388"/>
    <w:rsid w:val="00D03600"/>
    <w:rsid w:val="00D16A47"/>
    <w:rsid w:val="00D632E2"/>
    <w:rsid w:val="00D831DF"/>
    <w:rsid w:val="00D900A6"/>
    <w:rsid w:val="00DA23FA"/>
    <w:rsid w:val="00DA3E5A"/>
    <w:rsid w:val="00DB7C36"/>
    <w:rsid w:val="00E05174"/>
    <w:rsid w:val="00E20229"/>
    <w:rsid w:val="00E80DA2"/>
    <w:rsid w:val="00ED6892"/>
    <w:rsid w:val="00EE7550"/>
    <w:rsid w:val="00EF1261"/>
    <w:rsid w:val="00EF36DF"/>
    <w:rsid w:val="00F06168"/>
    <w:rsid w:val="00F34574"/>
    <w:rsid w:val="00F44B9C"/>
    <w:rsid w:val="00F9544E"/>
    <w:rsid w:val="00FA1545"/>
    <w:rsid w:val="00FA30A3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A09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6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2573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A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9A5523"/>
    <w:pPr>
      <w:spacing w:after="0" w:line="240" w:lineRule="auto"/>
    </w:pPr>
    <w:rPr>
      <w:rFonts w:cs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14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46924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46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6924"/>
    <w:rPr>
      <w:rFonts w:cs="Times New Roman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67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676BC"/>
    <w:rPr>
      <w:rFonts w:ascii="Courier New" w:hAnsi="Courier New" w:cs="Courier New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73A9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2573A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573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3A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6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B32BD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28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Standard"/>
    <w:rsid w:val="00002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Düllmann</dc:creator>
  <cp:lastModifiedBy>I5</cp:lastModifiedBy>
  <cp:revision>17</cp:revision>
  <cp:lastPrinted>2016-04-06T17:14:00Z</cp:lastPrinted>
  <dcterms:created xsi:type="dcterms:W3CDTF">2015-10-03T17:42:00Z</dcterms:created>
  <dcterms:modified xsi:type="dcterms:W3CDTF">2016-05-25T15:58:00Z</dcterms:modified>
</cp:coreProperties>
</file>